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ED" w:rsidRPr="009F1D62" w:rsidRDefault="002E59ED" w:rsidP="002E59ED">
      <w:pPr>
        <w:jc w:val="center"/>
        <w:rPr>
          <w:b/>
          <w:sz w:val="28"/>
          <w:szCs w:val="28"/>
        </w:rPr>
      </w:pPr>
      <w:r w:rsidRPr="009F1D62">
        <w:rPr>
          <w:b/>
          <w:sz w:val="28"/>
          <w:szCs w:val="28"/>
        </w:rPr>
        <w:t>History 371</w:t>
      </w:r>
    </w:p>
    <w:p w:rsidR="002E59ED" w:rsidRDefault="002E59ED" w:rsidP="002E59ED">
      <w:pPr>
        <w:jc w:val="center"/>
      </w:pPr>
    </w:p>
    <w:p w:rsidR="00CD6972" w:rsidRPr="00013929" w:rsidRDefault="002E59ED" w:rsidP="002E59ED">
      <w:pPr>
        <w:jc w:val="center"/>
        <w:rPr>
          <w:b/>
          <w:sz w:val="28"/>
          <w:szCs w:val="28"/>
        </w:rPr>
      </w:pPr>
      <w:r w:rsidRPr="00013929">
        <w:rPr>
          <w:b/>
          <w:sz w:val="28"/>
          <w:szCs w:val="28"/>
        </w:rPr>
        <w:t>Feast or Famine: Food in Global History</w:t>
      </w:r>
    </w:p>
    <w:p w:rsidR="00E903B6" w:rsidRDefault="00E903B6" w:rsidP="00CD6972">
      <w:pPr>
        <w:jc w:val="center"/>
      </w:pPr>
    </w:p>
    <w:p w:rsidR="00CD6972" w:rsidRDefault="00CD6972" w:rsidP="00CD6972">
      <w:pPr>
        <w:jc w:val="both"/>
      </w:pPr>
    </w:p>
    <w:p w:rsidR="00CD6972" w:rsidRDefault="00CD6972" w:rsidP="00CD6972">
      <w:r>
        <w:t xml:space="preserve">I.   </w:t>
      </w:r>
      <w:r>
        <w:rPr>
          <w:u w:val="single"/>
        </w:rPr>
        <w:t>Instructor</w:t>
      </w:r>
      <w:r>
        <w:tab/>
      </w:r>
      <w:r>
        <w:tab/>
      </w:r>
      <w:r>
        <w:tab/>
        <w:t>Margaret Humphreys, M.D., Ph.D.</w:t>
      </w:r>
    </w:p>
    <w:p w:rsidR="00CD6972" w:rsidRDefault="00CD6972" w:rsidP="00CD6972">
      <w:pPr>
        <w:ind w:firstLine="3600"/>
      </w:pPr>
      <w:r>
        <w:t>206 Carr Building</w:t>
      </w:r>
    </w:p>
    <w:p w:rsidR="00CD6972" w:rsidRDefault="00CD6972" w:rsidP="00CD6972">
      <w:pPr>
        <w:ind w:firstLine="3600"/>
      </w:pPr>
      <w:r>
        <w:t>684-2285</w:t>
      </w:r>
    </w:p>
    <w:p w:rsidR="00CD6972" w:rsidRDefault="00CD6972" w:rsidP="00CD6972">
      <w:pPr>
        <w:ind w:firstLine="3600"/>
      </w:pPr>
      <w:hyperlink r:id="rId5" w:history="1">
        <w:r w:rsidRPr="00144CF1">
          <w:rPr>
            <w:rStyle w:val="Hyperlink"/>
          </w:rPr>
          <w:t>meh@duke.edu</w:t>
        </w:r>
      </w:hyperlink>
    </w:p>
    <w:p w:rsidR="00CD6972" w:rsidRDefault="00CD6972" w:rsidP="00CD6972">
      <w:pPr>
        <w:ind w:firstLine="3600"/>
      </w:pPr>
      <w:r>
        <w:t>Office hours by appointment</w:t>
      </w:r>
    </w:p>
    <w:p w:rsidR="00CD6972" w:rsidRDefault="00CD6972" w:rsidP="00CD6972"/>
    <w:p w:rsidR="00CD6972" w:rsidRPr="009E778B" w:rsidRDefault="00CD6972" w:rsidP="00CD6972">
      <w:r w:rsidRPr="009E778B">
        <w:tab/>
      </w:r>
    </w:p>
    <w:p w:rsidR="00CD6972" w:rsidRDefault="00CD6972" w:rsidP="00CD6972">
      <w:pPr>
        <w:rPr>
          <w:u w:val="single"/>
        </w:rPr>
      </w:pPr>
      <w:r>
        <w:t>II.</w:t>
      </w:r>
      <w:r>
        <w:tab/>
      </w:r>
      <w:r>
        <w:rPr>
          <w:u w:val="single"/>
        </w:rPr>
        <w:t>Texts</w:t>
      </w:r>
    </w:p>
    <w:p w:rsidR="00CD6972" w:rsidRDefault="00CD6972" w:rsidP="00CD6972"/>
    <w:p w:rsidR="00CD6972" w:rsidRDefault="00CD6972" w:rsidP="00CD6972">
      <w:pPr>
        <w:ind w:left="720"/>
      </w:pPr>
      <w:r>
        <w:t xml:space="preserve">Jared Diamond, </w:t>
      </w:r>
      <w:r w:rsidRPr="00157CF2">
        <w:rPr>
          <w:i/>
        </w:rPr>
        <w:t>Guns, Germs, and Steel: The Fates of Human Societies</w:t>
      </w:r>
      <w:r>
        <w:t xml:space="preserve"> (New York: W.W. Norton, 1997</w:t>
      </w:r>
      <w:r w:rsidR="00887D4F">
        <w:t xml:space="preserve"> or 1999</w:t>
      </w:r>
      <w:r>
        <w:t>)</w:t>
      </w:r>
    </w:p>
    <w:p w:rsidR="00887D4F" w:rsidRDefault="00887D4F" w:rsidP="00CD6972">
      <w:pPr>
        <w:ind w:left="720"/>
      </w:pPr>
    </w:p>
    <w:p w:rsidR="00887D4F" w:rsidRDefault="00887D4F" w:rsidP="00887D4F">
      <w:pPr>
        <w:ind w:left="720"/>
      </w:pPr>
      <w:r>
        <w:t xml:space="preserve">Marvin Harris, </w:t>
      </w:r>
      <w:r w:rsidRPr="00607272">
        <w:rPr>
          <w:i/>
        </w:rPr>
        <w:t>Good to Eat: Riddles of Food and Culture</w:t>
      </w:r>
      <w:r>
        <w:t xml:space="preserve">, Waveland Press, 1998. </w:t>
      </w:r>
    </w:p>
    <w:p w:rsidR="00887D4F" w:rsidRDefault="00887D4F" w:rsidP="00887D4F">
      <w:pPr>
        <w:ind w:left="720"/>
      </w:pPr>
    </w:p>
    <w:p w:rsidR="00887D4F" w:rsidRDefault="00887D4F" w:rsidP="00887D4F">
      <w:pPr>
        <w:ind w:left="720"/>
      </w:pPr>
      <w:r>
        <w:t xml:space="preserve">Harvey Levenstein, </w:t>
      </w:r>
      <w:r w:rsidRPr="00607272">
        <w:rPr>
          <w:i/>
        </w:rPr>
        <w:t>Paradox of Plenty: A Social History of Food in Modern America</w:t>
      </w:r>
      <w:r>
        <w:t xml:space="preserve"> (rev. ed), (Berkeley: University of California Press, 2003). </w:t>
      </w:r>
    </w:p>
    <w:p w:rsidR="00887D4F" w:rsidRDefault="00887D4F" w:rsidP="00887D4F">
      <w:pPr>
        <w:ind w:left="720"/>
      </w:pPr>
    </w:p>
    <w:p w:rsidR="00887D4F" w:rsidRDefault="00887D4F" w:rsidP="00887D4F">
      <w:pPr>
        <w:ind w:left="720"/>
      </w:pPr>
      <w:r>
        <w:t xml:space="preserve">Marion Nestle, </w:t>
      </w:r>
      <w:r w:rsidRPr="00607272">
        <w:rPr>
          <w:i/>
        </w:rPr>
        <w:t>Food Politics: How the Food Industry Influences Nutrition and Health</w:t>
      </w:r>
      <w:r>
        <w:t xml:space="preserve"> (Berkeley: University of California Press, rev. 2013) </w:t>
      </w:r>
    </w:p>
    <w:p w:rsidR="00CE4F94" w:rsidRDefault="00CE4F94" w:rsidP="00CD6972">
      <w:pPr>
        <w:ind w:left="720"/>
      </w:pPr>
    </w:p>
    <w:p w:rsidR="00811050" w:rsidRDefault="00811050" w:rsidP="00CD6972">
      <w:pPr>
        <w:ind w:left="720"/>
      </w:pPr>
      <w:r>
        <w:t>Texts are available for purchase at the Regulator bookshop on 9</w:t>
      </w:r>
      <w:r w:rsidRPr="00811050">
        <w:rPr>
          <w:vertAlign w:val="superscript"/>
        </w:rPr>
        <w:t>th</w:t>
      </w:r>
      <w:r>
        <w:t xml:space="preserve"> St. (Go to the lower level and ask for the books for this class).  They will also be on reserve at Lilly.  Used copies may be available on Amazon or via other sources.</w:t>
      </w:r>
    </w:p>
    <w:p w:rsidR="00811050" w:rsidRDefault="00811050" w:rsidP="00811050"/>
    <w:p w:rsidR="00811050" w:rsidRDefault="00811050" w:rsidP="00811050">
      <w:r>
        <w:t>III.</w:t>
      </w:r>
      <w:r>
        <w:tab/>
        <w:t xml:space="preserve">Other readings are available on the course </w:t>
      </w:r>
      <w:r w:rsidR="002E59ED">
        <w:t>Sakai</w:t>
      </w:r>
      <w:r>
        <w:t xml:space="preserve"> site.</w:t>
      </w:r>
    </w:p>
    <w:p w:rsidR="00811050" w:rsidRDefault="00811050" w:rsidP="00811050"/>
    <w:p w:rsidR="00811050" w:rsidRDefault="00811050" w:rsidP="00811050">
      <w:r>
        <w:t>IV.       Assignments and grading</w:t>
      </w:r>
    </w:p>
    <w:p w:rsidR="006574F4" w:rsidRDefault="006574F4" w:rsidP="00811050"/>
    <w:p w:rsidR="006574F4" w:rsidRDefault="006574F4" w:rsidP="006574F4">
      <w:r w:rsidRPr="00AD7917">
        <w:rPr>
          <w:u w:val="single"/>
        </w:rPr>
        <w:t>Assignments</w:t>
      </w:r>
      <w:r>
        <w:t>:</w:t>
      </w:r>
    </w:p>
    <w:p w:rsidR="006574F4" w:rsidRDefault="006574F4" w:rsidP="006574F4"/>
    <w:p w:rsidR="006574F4" w:rsidRDefault="006574F4" w:rsidP="006574F4">
      <w:pPr>
        <w:widowControl w:val="0"/>
        <w:numPr>
          <w:ilvl w:val="0"/>
          <w:numId w:val="1"/>
        </w:numPr>
      </w:pPr>
      <w:r>
        <w:t>Midterm and final examinations</w:t>
      </w:r>
    </w:p>
    <w:p w:rsidR="006574F4" w:rsidRDefault="006574F4" w:rsidP="006574F4">
      <w:pPr>
        <w:ind w:left="1080"/>
      </w:pPr>
      <w:r>
        <w:t xml:space="preserve">  </w:t>
      </w:r>
      <w:r>
        <w:tab/>
      </w:r>
    </w:p>
    <w:p w:rsidR="006574F4" w:rsidRDefault="006574F4" w:rsidP="006574F4">
      <w:pPr>
        <w:ind w:left="1080"/>
      </w:pPr>
      <w:r>
        <w:t xml:space="preserve">      Midterm will be a blue-book type exam written in the classroom.</w:t>
      </w:r>
    </w:p>
    <w:p w:rsidR="006574F4" w:rsidRDefault="006574F4" w:rsidP="006574F4">
      <w:pPr>
        <w:ind w:left="1080"/>
      </w:pPr>
    </w:p>
    <w:p w:rsidR="006574F4" w:rsidRDefault="006574F4" w:rsidP="006574F4">
      <w:pPr>
        <w:ind w:left="1440"/>
      </w:pPr>
      <w:r>
        <w:t xml:space="preserve">Final will be a take-home exam, handed out last day of class and due </w:t>
      </w:r>
      <w:r w:rsidR="008A1446">
        <w:t>Sat. May 3, 5 pm.</w:t>
      </w:r>
    </w:p>
    <w:p w:rsidR="006574F4" w:rsidRDefault="006574F4" w:rsidP="006574F4">
      <w:pPr>
        <w:ind w:left="1080"/>
      </w:pPr>
    </w:p>
    <w:p w:rsidR="006574F4" w:rsidRDefault="006574F4" w:rsidP="006574F4">
      <w:pPr>
        <w:widowControl w:val="0"/>
        <w:numPr>
          <w:ilvl w:val="0"/>
          <w:numId w:val="1"/>
        </w:numPr>
      </w:pPr>
      <w:r>
        <w:t xml:space="preserve">Two papers; topics to be accessed through these links: paper 1, paper 2. Late papers will be penalized by a drop in grade. If I do not have your paper by the time designated I will notify you by email so you know I don’t have it. Sometimes computer glitches happen (do tell!) or papers get otherwise lost. </w:t>
      </w:r>
      <w:r>
        <w:lastRenderedPageBreak/>
        <w:t>Papers can be turned in as printed out documents (preferred) or by email.</w:t>
      </w:r>
    </w:p>
    <w:p w:rsidR="006574F4" w:rsidRDefault="006574F4" w:rsidP="006574F4">
      <w:pPr>
        <w:ind w:left="1440"/>
      </w:pPr>
    </w:p>
    <w:p w:rsidR="006574F4" w:rsidRPr="00AD7013" w:rsidRDefault="006574F4" w:rsidP="006574F4">
      <w:pPr>
        <w:ind w:left="1440"/>
      </w:pPr>
      <w:r>
        <w:t>#1—7-8 page paper due</w:t>
      </w:r>
      <w:r w:rsidR="00036786">
        <w:t xml:space="preserve"> 02/04/2014</w:t>
      </w:r>
      <w:r>
        <w:t>, by 2 pm.</w:t>
      </w:r>
    </w:p>
    <w:p w:rsidR="006574F4" w:rsidRDefault="006574F4" w:rsidP="006574F4">
      <w:pPr>
        <w:ind w:left="1440"/>
      </w:pPr>
      <w:r w:rsidRPr="00AD7013">
        <w:t>#2</w:t>
      </w:r>
      <w:r w:rsidR="00036786">
        <w:t>—8-10 page paper due 04/01/2014</w:t>
      </w:r>
      <w:r>
        <w:t>, by 2 pm.</w:t>
      </w:r>
    </w:p>
    <w:p w:rsidR="006574F4" w:rsidRDefault="006574F4" w:rsidP="006574F4"/>
    <w:p w:rsidR="006574F4" w:rsidRDefault="006574F4" w:rsidP="006574F4">
      <w:pPr>
        <w:numPr>
          <w:ilvl w:val="0"/>
          <w:numId w:val="1"/>
        </w:numPr>
      </w:pPr>
      <w:r>
        <w:t xml:space="preserve">Readings should be done for the class under which they are listed in the </w:t>
      </w:r>
    </w:p>
    <w:p w:rsidR="006574F4" w:rsidRDefault="006574F4" w:rsidP="006574F4">
      <w:pPr>
        <w:ind w:left="1170"/>
      </w:pPr>
      <w:r>
        <w:t xml:space="preserve">syllabus. The readings come either from the assigned books or from pdfs posted on </w:t>
      </w:r>
      <w:r>
        <w:tab/>
        <w:t>Sakai.</w:t>
      </w:r>
      <w:r w:rsidRPr="001F4DFD">
        <w:t xml:space="preserve"> </w:t>
      </w:r>
    </w:p>
    <w:p w:rsidR="006574F4" w:rsidRDefault="006574F4" w:rsidP="006574F4"/>
    <w:p w:rsidR="006574F4" w:rsidRDefault="006574F4" w:rsidP="006574F4">
      <w:pPr>
        <w:widowControl w:val="0"/>
        <w:numPr>
          <w:ilvl w:val="0"/>
          <w:numId w:val="2"/>
        </w:numPr>
      </w:pPr>
      <w:r>
        <w:t>Attendance is expected. More than 4 unexcused absences will lead to reduction of your final grade. Contact me if you have a valid reason to miss class. If you are sick, submit a STINF. If you are away on university “business” (athletics, other representation) provide the usual forms.</w:t>
      </w:r>
    </w:p>
    <w:p w:rsidR="006574F4" w:rsidRDefault="006574F4" w:rsidP="006574F4">
      <w:pPr>
        <w:ind w:left="720"/>
      </w:pPr>
    </w:p>
    <w:p w:rsidR="006574F4" w:rsidRDefault="006574F4" w:rsidP="006574F4"/>
    <w:p w:rsidR="006574F4" w:rsidRDefault="006574F4" w:rsidP="006574F4">
      <w:pPr>
        <w:rPr>
          <w:u w:val="single"/>
        </w:rPr>
      </w:pPr>
      <w:r>
        <w:rPr>
          <w:u w:val="single"/>
        </w:rPr>
        <w:t>Grading</w:t>
      </w:r>
    </w:p>
    <w:p w:rsidR="006574F4" w:rsidRDefault="006574F4" w:rsidP="006574F4"/>
    <w:p w:rsidR="006574F4" w:rsidRDefault="006574F4" w:rsidP="006574F4">
      <w:r>
        <w:t>The final grade is based on the papers and exams.  Percentages are as follows:</w:t>
      </w:r>
    </w:p>
    <w:p w:rsidR="006574F4" w:rsidRDefault="006574F4" w:rsidP="006574F4"/>
    <w:p w:rsidR="006574F4" w:rsidRDefault="006574F4" w:rsidP="006574F4">
      <w:r>
        <w:t xml:space="preserve">paper #1   </w:t>
      </w:r>
      <w:r>
        <w:tab/>
        <w:t>20%</w:t>
      </w:r>
    </w:p>
    <w:p w:rsidR="006574F4" w:rsidRDefault="006574F4" w:rsidP="006574F4">
      <w:r>
        <w:t xml:space="preserve">paper #2    </w:t>
      </w:r>
      <w:r>
        <w:tab/>
        <w:t>30%</w:t>
      </w:r>
    </w:p>
    <w:p w:rsidR="006574F4" w:rsidRDefault="006574F4" w:rsidP="006574F4">
      <w:r>
        <w:t xml:space="preserve">midterm     </w:t>
      </w:r>
      <w:r>
        <w:tab/>
        <w:t>20%</w:t>
      </w:r>
    </w:p>
    <w:p w:rsidR="006574F4" w:rsidRDefault="006574F4" w:rsidP="006574F4">
      <w:r>
        <w:t xml:space="preserve">final           </w:t>
      </w:r>
      <w:r>
        <w:tab/>
        <w:t>30%</w:t>
      </w:r>
    </w:p>
    <w:p w:rsidR="006574F4" w:rsidRDefault="006574F4" w:rsidP="006574F4"/>
    <w:p w:rsidR="006574F4" w:rsidRDefault="006574F4" w:rsidP="006574F4"/>
    <w:p w:rsidR="006574F4" w:rsidRDefault="006574F4" w:rsidP="006574F4">
      <w:r>
        <w:t xml:space="preserve">My grades are due 48 hours after the final. Once turned in they cannot be changed for any reason except clerical error.  Given the multiple components of your grade you’ll have plenty of feedback about how you’re doing. Come talk to me if you have concerns.  Email or phone and we’ll set up a time, or drop by 206 Carr Building. </w:t>
      </w:r>
    </w:p>
    <w:p w:rsidR="006574F4" w:rsidRDefault="006574F4" w:rsidP="006574F4"/>
    <w:p w:rsidR="006574F4" w:rsidRDefault="006574F4" w:rsidP="006574F4">
      <w:r>
        <w:t>Laptops and tablets are allowed in class, but should be used for class-related purposes such as taking notes or looking up material relevant to the lecture.  Surfing the web, looking a vi</w:t>
      </w:r>
      <w:r w:rsidR="00714DF3">
        <w:t>deos of cute kitties, updating F</w:t>
      </w:r>
      <w:r>
        <w:t>acebook, or visitation of other, non-relevant sites is inappropriate. It distracts those seated behind you, and lowers your attention to lecture.  Act like an adult, please, and don’t force me to ban laptops from the class room.</w:t>
      </w:r>
    </w:p>
    <w:p w:rsidR="00811050" w:rsidRDefault="00811050" w:rsidP="00811050"/>
    <w:p w:rsidR="00CD6972" w:rsidRDefault="00CD6972" w:rsidP="00811050">
      <w:r>
        <w:br w:type="page"/>
      </w:r>
      <w:r>
        <w:lastRenderedPageBreak/>
        <w:t>Hist</w:t>
      </w:r>
      <w:r w:rsidR="00811050">
        <w:t xml:space="preserve">ory </w:t>
      </w:r>
      <w:r w:rsidR="002E59ED">
        <w:t>371</w:t>
      </w:r>
    </w:p>
    <w:p w:rsidR="00CD6972" w:rsidRDefault="00CD6972" w:rsidP="00CD6972">
      <w:pPr>
        <w:ind w:left="720"/>
      </w:pPr>
    </w:p>
    <w:p w:rsidR="00CD6972" w:rsidRDefault="000F7F03" w:rsidP="006574F4">
      <w:r>
        <w:t>1/9</w:t>
      </w:r>
      <w:r w:rsidR="00381E4E">
        <w:t xml:space="preserve">  </w:t>
      </w:r>
      <w:r w:rsidR="00BD3BB3">
        <w:tab/>
      </w:r>
      <w:r w:rsidR="00381E4E">
        <w:t>Intro</w:t>
      </w:r>
      <w:r w:rsidR="00D2291B">
        <w:t>duction</w:t>
      </w:r>
    </w:p>
    <w:p w:rsidR="00D2291B" w:rsidRDefault="00D2291B" w:rsidP="00CD6972">
      <w:pPr>
        <w:ind w:left="720"/>
      </w:pPr>
    </w:p>
    <w:p w:rsidR="00D2291B" w:rsidRDefault="00DA3BC9" w:rsidP="00F90890">
      <w:pPr>
        <w:ind w:left="1440"/>
      </w:pPr>
      <w:r>
        <w:t>D</w:t>
      </w:r>
      <w:r w:rsidR="00D2291B">
        <w:t>iscussion of course themes and student experiences</w:t>
      </w:r>
      <w:r w:rsidR="00F90890">
        <w:t>. What do humans need?  Is there a natural human diet?</w:t>
      </w:r>
    </w:p>
    <w:p w:rsidR="00CD6972" w:rsidRDefault="00CD6972" w:rsidP="00CD6972">
      <w:pPr>
        <w:ind w:left="720"/>
      </w:pPr>
    </w:p>
    <w:p w:rsidR="00CD6972" w:rsidRDefault="00CD6972" w:rsidP="006574F4">
      <w:r>
        <w:t>1/1</w:t>
      </w:r>
      <w:r w:rsidR="000F7F03">
        <w:t>4</w:t>
      </w:r>
      <w:r w:rsidR="00BD3BB3">
        <w:tab/>
      </w:r>
      <w:r w:rsidR="00D2291B">
        <w:t>Prehistory of Human Health and Disease</w:t>
      </w:r>
    </w:p>
    <w:p w:rsidR="00D2291B" w:rsidRDefault="00D2291B" w:rsidP="00CD6972">
      <w:pPr>
        <w:ind w:left="720"/>
      </w:pPr>
    </w:p>
    <w:p w:rsidR="00D2291B" w:rsidRPr="00D2291B" w:rsidRDefault="00D2291B" w:rsidP="00D2291B">
      <w:pPr>
        <w:ind w:left="1440"/>
      </w:pPr>
      <w:smartTag w:uri="urn:schemas-microsoft-com:office:smarttags" w:element="place">
        <w:smartTag w:uri="urn:schemas-microsoft-com:office:smarttags" w:element="City">
          <w:r>
            <w:t>Readings</w:t>
          </w:r>
        </w:smartTag>
      </w:smartTag>
      <w:r>
        <w:t xml:space="preserve">: Jared Diamond, </w:t>
      </w:r>
      <w:r w:rsidRPr="00D2291B">
        <w:rPr>
          <w:i/>
        </w:rPr>
        <w:t xml:space="preserve">Guns, Germs and </w:t>
      </w:r>
      <w:r w:rsidR="00033516" w:rsidRPr="00D2291B">
        <w:rPr>
          <w:i/>
        </w:rPr>
        <w:t>Steel</w:t>
      </w:r>
      <w:r w:rsidR="00033516">
        <w:rPr>
          <w:i/>
        </w:rPr>
        <w:t xml:space="preserve"> </w:t>
      </w:r>
      <w:r w:rsidR="00033516">
        <w:t>(</w:t>
      </w:r>
      <w:r>
        <w:t>New York: Norton,</w:t>
      </w:r>
      <w:r w:rsidR="006574F4">
        <w:t xml:space="preserve"> 1999), prologue, chs. 1, 4, and 5</w:t>
      </w:r>
    </w:p>
    <w:p w:rsidR="00CD6972" w:rsidRDefault="00CD6972" w:rsidP="00CD6972">
      <w:pPr>
        <w:ind w:left="720"/>
      </w:pPr>
    </w:p>
    <w:p w:rsidR="00CD6972" w:rsidRDefault="00CD6972" w:rsidP="006574F4">
      <w:r>
        <w:t>1/1</w:t>
      </w:r>
      <w:r w:rsidR="000F7F03">
        <w:t>6</w:t>
      </w:r>
      <w:r w:rsidR="00D2291B">
        <w:t xml:space="preserve">  </w:t>
      </w:r>
      <w:r w:rsidR="00BD3BB3">
        <w:tab/>
      </w:r>
      <w:r w:rsidR="00D2291B">
        <w:t>Prehistory of Food</w:t>
      </w:r>
    </w:p>
    <w:p w:rsidR="00D2291B" w:rsidRDefault="00D2291B" w:rsidP="00CD6972">
      <w:pPr>
        <w:ind w:left="720"/>
      </w:pPr>
    </w:p>
    <w:p w:rsidR="00D2291B" w:rsidRDefault="00D2291B" w:rsidP="00CD6972">
      <w:pPr>
        <w:ind w:left="720"/>
      </w:pPr>
      <w:r>
        <w:tab/>
      </w:r>
      <w:smartTag w:uri="urn:schemas-microsoft-com:office:smarttags" w:element="place">
        <w:smartTag w:uri="urn:schemas-microsoft-com:office:smarttags" w:element="City">
          <w:r>
            <w:t>Readings</w:t>
          </w:r>
        </w:smartTag>
      </w:smartTag>
      <w:r>
        <w:t xml:space="preserve">: Diamond, </w:t>
      </w:r>
      <w:r w:rsidRPr="00D2291B">
        <w:rPr>
          <w:i/>
        </w:rPr>
        <w:t>Guns, Germs and Steel</w:t>
      </w:r>
      <w:r w:rsidR="006574F4">
        <w:t>, chs. 6</w:t>
      </w:r>
      <w:r>
        <w:t>-10.</w:t>
      </w:r>
    </w:p>
    <w:p w:rsidR="00BD3BB3" w:rsidRDefault="00BD3BB3" w:rsidP="00CD6972">
      <w:pPr>
        <w:ind w:left="720"/>
      </w:pPr>
    </w:p>
    <w:p w:rsidR="00BD3BB3" w:rsidRDefault="000F7F03" w:rsidP="006574F4">
      <w:r>
        <w:t>1/21</w:t>
      </w:r>
      <w:r w:rsidR="006574F4">
        <w:t xml:space="preserve"> </w:t>
      </w:r>
      <w:r w:rsidR="006574F4">
        <w:tab/>
      </w:r>
      <w:r w:rsidR="00BD3BB3">
        <w:t>Food and Culture</w:t>
      </w:r>
      <w:r w:rsidR="006574F4">
        <w:t xml:space="preserve"> in Early Civilization</w:t>
      </w:r>
    </w:p>
    <w:p w:rsidR="00BD3BB3" w:rsidRDefault="00BD3BB3" w:rsidP="00CD6972">
      <w:pPr>
        <w:ind w:left="720"/>
      </w:pPr>
    </w:p>
    <w:p w:rsidR="00BD3BB3" w:rsidRDefault="00BD3BB3" w:rsidP="00BD3BB3">
      <w:pPr>
        <w:ind w:left="1440"/>
      </w:pPr>
      <w:r>
        <w:t xml:space="preserve">Readings: Marvin Harris, </w:t>
      </w:r>
      <w:r w:rsidR="006574F4" w:rsidRPr="006574F4">
        <w:rPr>
          <w:i/>
        </w:rPr>
        <w:t>Good to Eat</w:t>
      </w:r>
      <w:r w:rsidR="006574F4">
        <w:t>, 1-87.</w:t>
      </w:r>
    </w:p>
    <w:p w:rsidR="00CD6972" w:rsidRDefault="00CD6972" w:rsidP="00CD6972">
      <w:pPr>
        <w:ind w:left="720"/>
      </w:pPr>
    </w:p>
    <w:p w:rsidR="00A833B4" w:rsidRDefault="00A833B4" w:rsidP="006574F4">
      <w:r>
        <w:t xml:space="preserve">1/23 </w:t>
      </w:r>
      <w:r w:rsidR="006574F4">
        <w:t xml:space="preserve">      Food and Culture in Early Civilization, continued.</w:t>
      </w:r>
    </w:p>
    <w:p w:rsidR="006574F4" w:rsidRDefault="006574F4" w:rsidP="006574F4"/>
    <w:p w:rsidR="006574F4" w:rsidRDefault="006574F4" w:rsidP="006574F4">
      <w:r>
        <w:tab/>
      </w:r>
      <w:r>
        <w:tab/>
        <w:t xml:space="preserve">Readings: Marvin Harris, </w:t>
      </w:r>
      <w:r w:rsidRPr="006574F4">
        <w:rPr>
          <w:i/>
        </w:rPr>
        <w:t>Good to Eat</w:t>
      </w:r>
      <w:r>
        <w:t>, 88-174</w:t>
      </w:r>
    </w:p>
    <w:p w:rsidR="006574F4" w:rsidRDefault="006574F4" w:rsidP="006574F4"/>
    <w:p w:rsidR="006574F4" w:rsidRDefault="006574F4" w:rsidP="006574F4">
      <w:r>
        <w:t>1/28</w:t>
      </w:r>
      <w:r>
        <w:tab/>
        <w:t xml:space="preserve">  What not to eat?</w:t>
      </w:r>
    </w:p>
    <w:p w:rsidR="006574F4" w:rsidRDefault="006574F4" w:rsidP="006574F4"/>
    <w:p w:rsidR="006574F4" w:rsidRDefault="006574F4" w:rsidP="006574F4">
      <w:r>
        <w:tab/>
      </w:r>
      <w:r>
        <w:tab/>
        <w:t xml:space="preserve">Readings: Marvin Harris, </w:t>
      </w:r>
      <w:r w:rsidRPr="006574F4">
        <w:rPr>
          <w:i/>
        </w:rPr>
        <w:t>Good to Eat</w:t>
      </w:r>
      <w:r>
        <w:t>, 175-248</w:t>
      </w:r>
    </w:p>
    <w:p w:rsidR="00FC4B30" w:rsidRDefault="00FC4B30" w:rsidP="006574F4"/>
    <w:p w:rsidR="00FC4B30" w:rsidRDefault="00FC4B30" w:rsidP="00FC4B30">
      <w:r>
        <w:t>1/30       The Columbian Exchange</w:t>
      </w:r>
    </w:p>
    <w:p w:rsidR="00FC4B30" w:rsidRDefault="00FC4B30" w:rsidP="00FC4B30"/>
    <w:p w:rsidR="00FC4B30" w:rsidRDefault="00FC4B30" w:rsidP="00FC4B30">
      <w:pPr>
        <w:ind w:left="1440"/>
      </w:pPr>
      <w:r>
        <w:t xml:space="preserve">Readings: Kenneth Kiple, </w:t>
      </w:r>
      <w:r w:rsidRPr="00C503F6">
        <w:rPr>
          <w:i/>
        </w:rPr>
        <w:t>A Movable Feast</w:t>
      </w:r>
      <w:r>
        <w:t xml:space="preserve">, 135-183; Charles Mann, </w:t>
      </w:r>
      <w:r w:rsidRPr="00784367">
        <w:rPr>
          <w:i/>
        </w:rPr>
        <w:t>1493</w:t>
      </w:r>
      <w:r>
        <w:t>, 251-271 (both SK)</w:t>
      </w:r>
    </w:p>
    <w:p w:rsidR="00BD3BB3" w:rsidRDefault="00BD3BB3" w:rsidP="00CC68DD">
      <w:pPr>
        <w:ind w:left="1440"/>
      </w:pPr>
    </w:p>
    <w:p w:rsidR="00FC4B30" w:rsidRDefault="00FC4B30" w:rsidP="00FC4B30">
      <w:r>
        <w:t>2/4</w:t>
      </w:r>
      <w:r>
        <w:tab/>
        <w:t>Waste Not, Want Not: Food Preservation vs Famine</w:t>
      </w:r>
    </w:p>
    <w:p w:rsidR="00FC4B30" w:rsidRDefault="00FC4B30" w:rsidP="00FC4B30"/>
    <w:p w:rsidR="00FC4B30" w:rsidRDefault="00FC4B30" w:rsidP="00FC4B30">
      <w:r>
        <w:tab/>
      </w:r>
      <w:r>
        <w:tab/>
        <w:t xml:space="preserve">Readings: C. Anne Wilson, </w:t>
      </w:r>
      <w:r w:rsidRPr="006574F4">
        <w:rPr>
          <w:i/>
        </w:rPr>
        <w:t>Waste Not, Want Not</w:t>
      </w:r>
      <w:r>
        <w:t>, 5-31; 104-133 (SK).</w:t>
      </w:r>
    </w:p>
    <w:p w:rsidR="00FC4B30" w:rsidRDefault="00FC4B30" w:rsidP="00FC4B30"/>
    <w:p w:rsidR="00CD6972" w:rsidRDefault="00CD6972" w:rsidP="00CD6972">
      <w:pPr>
        <w:ind w:left="720"/>
      </w:pPr>
    </w:p>
    <w:p w:rsidR="00CD6972" w:rsidRDefault="00FC4B30" w:rsidP="002E59ED">
      <w:r>
        <w:t>2/6</w:t>
      </w:r>
      <w:r w:rsidR="00381E4E">
        <w:t xml:space="preserve">    </w:t>
      </w:r>
      <w:r w:rsidR="00BD3BB3">
        <w:tab/>
      </w:r>
      <w:r w:rsidR="00DC67B3">
        <w:t>Famine and its History</w:t>
      </w:r>
    </w:p>
    <w:p w:rsidR="00DC67B3" w:rsidRDefault="00444214" w:rsidP="00CD6972">
      <w:pPr>
        <w:ind w:left="720"/>
      </w:pPr>
      <w:r>
        <w:tab/>
      </w:r>
    </w:p>
    <w:p w:rsidR="00444214" w:rsidRDefault="00444214" w:rsidP="00DC67B3">
      <w:pPr>
        <w:ind w:left="1440"/>
      </w:pPr>
      <w:r>
        <w:t>Readings:</w:t>
      </w:r>
      <w:r w:rsidR="001D2EA9">
        <w:t xml:space="preserve"> </w:t>
      </w:r>
      <w:r w:rsidR="008E3285">
        <w:t xml:space="preserve">David Arnold, </w:t>
      </w:r>
      <w:r w:rsidR="008E3285" w:rsidRPr="008E3285">
        <w:rPr>
          <w:i/>
        </w:rPr>
        <w:t>Famine: Social Crisis and Historical Change</w:t>
      </w:r>
      <w:r w:rsidR="008E3285">
        <w:t xml:space="preserve"> (Oxford: Basil Blackwell, 1988), pp. 1-46; J. P. W. Rivers, “The Nutritional Biology of Famine,” in G. Ainsworth Harrison, ed., </w:t>
      </w:r>
      <w:r w:rsidR="008E3285" w:rsidRPr="008E3285">
        <w:rPr>
          <w:i/>
        </w:rPr>
        <w:t>Famine</w:t>
      </w:r>
      <w:r w:rsidR="008E3285">
        <w:t xml:space="preserve"> (Oxford: Oxford University Press, 1988), pp. 57-106.</w:t>
      </w:r>
      <w:r w:rsidR="006574F4">
        <w:t xml:space="preserve"> (</w:t>
      </w:r>
      <w:r w:rsidR="00714DF3">
        <w:t xml:space="preserve">Both </w:t>
      </w:r>
      <w:r w:rsidR="006574F4">
        <w:t>SK)</w:t>
      </w:r>
    </w:p>
    <w:p w:rsidR="006574F4" w:rsidRDefault="006574F4" w:rsidP="006574F4"/>
    <w:p w:rsidR="006574F4" w:rsidRDefault="006574F4" w:rsidP="006574F4"/>
    <w:p w:rsidR="001D2EA9" w:rsidRDefault="001D2EA9" w:rsidP="006574F4"/>
    <w:p w:rsidR="006574F4" w:rsidRDefault="00C503F6" w:rsidP="006574F4">
      <w:r>
        <w:t>2/11</w:t>
      </w:r>
      <w:r w:rsidR="006574F4">
        <w:tab/>
      </w:r>
      <w:r w:rsidR="001D2EA9">
        <w:t xml:space="preserve">The Irish </w:t>
      </w:r>
      <w:r w:rsidR="006574F4">
        <w:t>Potato Famine, part 1</w:t>
      </w:r>
      <w:r w:rsidR="001D2EA9">
        <w:t xml:space="preserve"> </w:t>
      </w:r>
    </w:p>
    <w:p w:rsidR="001D2EA9" w:rsidRDefault="001D2EA9" w:rsidP="006574F4"/>
    <w:p w:rsidR="001D2EA9" w:rsidRDefault="001D2EA9" w:rsidP="006574F4">
      <w:r>
        <w:tab/>
      </w:r>
      <w:r>
        <w:tab/>
        <w:t xml:space="preserve">Reading: James Donnelly, </w:t>
      </w:r>
      <w:r w:rsidRPr="001D2EA9">
        <w:rPr>
          <w:i/>
        </w:rPr>
        <w:t>The Great Irish Potato Famine</w:t>
      </w:r>
      <w:r>
        <w:t>, 41-100 (SK)</w:t>
      </w:r>
    </w:p>
    <w:p w:rsidR="006574F4" w:rsidRDefault="006574F4" w:rsidP="006574F4"/>
    <w:p w:rsidR="006574F4" w:rsidRDefault="00C503F6" w:rsidP="006574F4">
      <w:r>
        <w:t>2/13</w:t>
      </w:r>
      <w:r w:rsidR="006574F4">
        <w:tab/>
      </w:r>
      <w:r w:rsidR="001D2EA9">
        <w:t xml:space="preserve">The Irish </w:t>
      </w:r>
      <w:r w:rsidR="006574F4">
        <w:t>Potato Famine, part 2</w:t>
      </w:r>
    </w:p>
    <w:p w:rsidR="001D2EA9" w:rsidRDefault="001D2EA9" w:rsidP="006574F4"/>
    <w:p w:rsidR="001D2EA9" w:rsidRDefault="001D2EA9" w:rsidP="006574F4">
      <w:r>
        <w:tab/>
      </w:r>
      <w:r>
        <w:tab/>
        <w:t xml:space="preserve">Reading: James Donnelly, </w:t>
      </w:r>
      <w:r w:rsidRPr="001D2EA9">
        <w:rPr>
          <w:i/>
        </w:rPr>
        <w:t>The Great Irish Potato Famine</w:t>
      </w:r>
      <w:r>
        <w:t>, 101-186 (SK)</w:t>
      </w:r>
    </w:p>
    <w:p w:rsidR="00536CC5" w:rsidRDefault="00536CC5" w:rsidP="006574F4"/>
    <w:p w:rsidR="00536CC5" w:rsidRDefault="005F7B77" w:rsidP="006574F4">
      <w:r>
        <w:t>2/18</w:t>
      </w:r>
      <w:r w:rsidR="00536CC5">
        <w:t xml:space="preserve">    Later 19</w:t>
      </w:r>
      <w:r w:rsidR="00536CC5" w:rsidRPr="00536CC5">
        <w:rPr>
          <w:vertAlign w:val="superscript"/>
        </w:rPr>
        <w:t>th</w:t>
      </w:r>
      <w:r w:rsidR="00536CC5">
        <w:t xml:space="preserve"> Century Global Famines</w:t>
      </w:r>
    </w:p>
    <w:p w:rsidR="00536CC5" w:rsidRDefault="00536CC5" w:rsidP="006574F4"/>
    <w:p w:rsidR="00536CC5" w:rsidRDefault="00536CC5" w:rsidP="006574F4">
      <w:r>
        <w:tab/>
      </w:r>
      <w:r>
        <w:tab/>
        <w:t xml:space="preserve">Readings: Mike Davis, </w:t>
      </w:r>
      <w:r w:rsidRPr="00536CC5">
        <w:rPr>
          <w:i/>
        </w:rPr>
        <w:t>Late</w:t>
      </w:r>
      <w:r>
        <w:t xml:space="preserve"> </w:t>
      </w:r>
      <w:r w:rsidRPr="00536CC5">
        <w:rPr>
          <w:i/>
        </w:rPr>
        <w:t>Victorian Holocaust</w:t>
      </w:r>
      <w:r>
        <w:rPr>
          <w:i/>
        </w:rPr>
        <w:t>s</w:t>
      </w:r>
      <w:r>
        <w:t>, 25-59 (SK).</w:t>
      </w:r>
    </w:p>
    <w:p w:rsidR="00536CC5" w:rsidRDefault="00536CC5" w:rsidP="006574F4"/>
    <w:p w:rsidR="00536CC5" w:rsidRDefault="005F7B77" w:rsidP="006574F4">
      <w:r>
        <w:t>2/20</w:t>
      </w:r>
      <w:r w:rsidR="00536CC5">
        <w:t xml:space="preserve">     Later 19</w:t>
      </w:r>
      <w:r w:rsidR="00536CC5" w:rsidRPr="00536CC5">
        <w:rPr>
          <w:vertAlign w:val="superscript"/>
        </w:rPr>
        <w:t>th</w:t>
      </w:r>
      <w:r w:rsidR="00536CC5">
        <w:t xml:space="preserve"> Century Global Famines, continued</w:t>
      </w:r>
    </w:p>
    <w:p w:rsidR="00536CC5" w:rsidRDefault="00536CC5" w:rsidP="006574F4"/>
    <w:p w:rsidR="00536CC5" w:rsidRDefault="00536CC5" w:rsidP="006574F4">
      <w:r>
        <w:tab/>
      </w:r>
      <w:r>
        <w:tab/>
        <w:t xml:space="preserve">Readings: Davis, </w:t>
      </w:r>
      <w:r w:rsidRPr="00536CC5">
        <w:rPr>
          <w:i/>
        </w:rPr>
        <w:t>Late Victorian Holocausts</w:t>
      </w:r>
      <w:r>
        <w:t>, 61-115 (SK)</w:t>
      </w:r>
    </w:p>
    <w:p w:rsidR="00536CC5" w:rsidRDefault="00536CC5" w:rsidP="006574F4"/>
    <w:p w:rsidR="00CD6972" w:rsidRDefault="004D3384" w:rsidP="00536CC5">
      <w:r>
        <w:t>2/25</w:t>
      </w:r>
      <w:r w:rsidR="00DC67B3">
        <w:tab/>
      </w:r>
      <w:r w:rsidR="00523410">
        <w:t>Vitamins and Global Health: Beriberi</w:t>
      </w:r>
    </w:p>
    <w:p w:rsidR="006874E2" w:rsidRDefault="006874E2" w:rsidP="00CD6972">
      <w:pPr>
        <w:ind w:left="720"/>
      </w:pPr>
    </w:p>
    <w:p w:rsidR="00523410" w:rsidRDefault="006874E2" w:rsidP="006874E2">
      <w:pPr>
        <w:ind w:left="1440"/>
      </w:pPr>
      <w:smartTag w:uri="urn:schemas-microsoft-com:office:smarttags" w:element="City">
        <w:r>
          <w:t>Readings</w:t>
        </w:r>
      </w:smartTag>
      <w:r>
        <w:t xml:space="preserve">: Anne Hardy, “Beriberi, Vitamin B1 and World Food Policy, 1925-1970,” </w:t>
      </w:r>
      <w:r w:rsidRPr="006874E2">
        <w:rPr>
          <w:i/>
        </w:rPr>
        <w:t>Medical History</w:t>
      </w:r>
      <w:r>
        <w:t xml:space="preserve">, 1995, </w:t>
      </w:r>
      <w:r w:rsidRPr="006874E2">
        <w:rPr>
          <w:i/>
        </w:rPr>
        <w:t>39</w:t>
      </w:r>
      <w:r>
        <w:t xml:space="preserve">, 61-77; Ken de Bevoise, </w:t>
      </w:r>
      <w:r w:rsidRPr="006874E2">
        <w:rPr>
          <w:i/>
        </w:rPr>
        <w:t>Agents of Apocalypse</w:t>
      </w:r>
      <w:r w:rsidR="00523410">
        <w:t xml:space="preserve"> (</w:t>
      </w:r>
      <w:smartTag w:uri="urn:schemas-microsoft-com:office:smarttags" w:element="place">
        <w:r w:rsidR="00523410">
          <w:t>Princeton</w:t>
        </w:r>
      </w:smartTag>
      <w:r w:rsidR="00523410">
        <w:t>, 1995), 118-141.</w:t>
      </w:r>
      <w:r w:rsidR="006D376A">
        <w:t xml:space="preserve"> </w:t>
      </w:r>
      <w:r w:rsidR="004F540E">
        <w:t>(SK)</w:t>
      </w:r>
    </w:p>
    <w:p w:rsidR="00523410" w:rsidRDefault="00523410" w:rsidP="00523410"/>
    <w:p w:rsidR="00523410" w:rsidRDefault="004D3384" w:rsidP="00523410">
      <w:r>
        <w:t>2/27</w:t>
      </w:r>
      <w:r w:rsidR="00523410">
        <w:t xml:space="preserve">       Vitamins and Global Health: Scurvy</w:t>
      </w:r>
    </w:p>
    <w:p w:rsidR="00523410" w:rsidRDefault="00523410" w:rsidP="006874E2">
      <w:pPr>
        <w:ind w:left="1440"/>
      </w:pPr>
    </w:p>
    <w:p w:rsidR="006874E2" w:rsidRDefault="00523410" w:rsidP="006874E2">
      <w:pPr>
        <w:ind w:left="1440"/>
      </w:pPr>
      <w:smartTag w:uri="urn:schemas-microsoft-com:office:smarttags" w:element="City">
        <w:r>
          <w:t>Readings</w:t>
        </w:r>
      </w:smartTag>
      <w:r>
        <w:t xml:space="preserve">:  </w:t>
      </w:r>
      <w:r w:rsidR="006D376A">
        <w:t xml:space="preserve">Margaret Humphreys, </w:t>
      </w:r>
      <w:r w:rsidR="006D376A" w:rsidRPr="0056698C">
        <w:rPr>
          <w:i/>
        </w:rPr>
        <w:t>Intensely Human: The Health of Black Soldiers in the American Civil War</w:t>
      </w:r>
      <w:r w:rsidR="006D376A">
        <w:t xml:space="preserve"> (</w:t>
      </w:r>
      <w:smartTag w:uri="urn:schemas-microsoft-com:office:smarttags" w:element="place">
        <w:smartTag w:uri="urn:schemas-microsoft-com:office:smarttags" w:element="City">
          <w:r w:rsidR="006D376A">
            <w:t>Baltimore</w:t>
          </w:r>
        </w:smartTag>
      </w:smartTag>
      <w:r w:rsidR="006D376A">
        <w:t xml:space="preserve">, 2008), pp. 119-141; </w:t>
      </w:r>
      <w:r>
        <w:t xml:space="preserve">Kenneth </w:t>
      </w:r>
      <w:r w:rsidR="0006280E">
        <w:t xml:space="preserve">Carpenter, </w:t>
      </w:r>
      <w:r w:rsidR="0006280E" w:rsidRPr="0006280E">
        <w:rPr>
          <w:i/>
        </w:rPr>
        <w:t>The History of Scurvy and Vitamin C</w:t>
      </w:r>
      <w:r w:rsidR="0006280E">
        <w:t xml:space="preserve"> (Cambridge: Cambridge University</w:t>
      </w:r>
      <w:r w:rsidR="00F90900">
        <w:t xml:space="preserve"> Press, 1986), 133-157, 173-197; Mathieu Torck, “Maritime Travel and the Question of Provisions and Scurvy in a Chinese Context,” </w:t>
      </w:r>
      <w:r w:rsidR="00F90900" w:rsidRPr="00F90900">
        <w:rPr>
          <w:i/>
        </w:rPr>
        <w:t>East Asian Science, Technology and Medicine</w:t>
      </w:r>
      <w:r w:rsidR="00F90900">
        <w:t xml:space="preserve">, 2005, </w:t>
      </w:r>
      <w:r w:rsidR="00F90900" w:rsidRPr="00F90900">
        <w:rPr>
          <w:i/>
        </w:rPr>
        <w:t>23</w:t>
      </w:r>
      <w:r w:rsidR="00F90900">
        <w:t>, 54-78.</w:t>
      </w:r>
      <w:r w:rsidR="004F540E">
        <w:t xml:space="preserve"> (all SK)</w:t>
      </w:r>
    </w:p>
    <w:p w:rsidR="002E59ED" w:rsidRDefault="002E59ED" w:rsidP="002E59ED">
      <w:pPr>
        <w:ind w:left="720"/>
      </w:pPr>
    </w:p>
    <w:p w:rsidR="002E59ED" w:rsidRDefault="004D3384" w:rsidP="00536CC5">
      <w:r>
        <w:t xml:space="preserve">3/4 </w:t>
      </w:r>
      <w:r w:rsidR="002E59ED">
        <w:t xml:space="preserve">     </w:t>
      </w:r>
      <w:r w:rsidR="00536CC5">
        <w:t xml:space="preserve">   Vitamins and Global Health: Pellagra in the US</w:t>
      </w:r>
    </w:p>
    <w:p w:rsidR="002E59ED" w:rsidRDefault="002E59ED" w:rsidP="002E59ED">
      <w:pPr>
        <w:ind w:left="720"/>
      </w:pPr>
    </w:p>
    <w:p w:rsidR="002E59ED" w:rsidRDefault="002E59ED" w:rsidP="002E59ED">
      <w:pPr>
        <w:ind w:left="1440"/>
      </w:pPr>
      <w:smartTag w:uri="urn:schemas-microsoft-com:office:smarttags" w:element="City">
        <w:r>
          <w:t>Readings</w:t>
        </w:r>
      </w:smartTag>
      <w:r>
        <w:t xml:space="preserve">: Elizabeth W. Etheridge, “Pellagra: An Unappreciated Reminder of Southern Distinctiveness,” in Savitt and Young, </w:t>
      </w:r>
      <w:r w:rsidRPr="00F90900">
        <w:rPr>
          <w:i/>
        </w:rPr>
        <w:t>Disease and Distinctiveness,</w:t>
      </w:r>
      <w:r>
        <w:t xml:space="preserve"> pp. 100-119; Joseph Goldberger, “The Etiology of Pellagra,” “Cause and Prevention of Pellagra,” and “Treatment,” in </w:t>
      </w:r>
      <w:r w:rsidRPr="00033516">
        <w:rPr>
          <w:i/>
        </w:rPr>
        <w:t>Public Health Reports</w:t>
      </w:r>
      <w:r>
        <w:t xml:space="preserve"> 29 (1914): 1683-1686, 2354-2357, 2821-2825; C. H. Lavinder, “The Prevalence and Geographic Distribution of Pellagra in the US,” </w:t>
      </w:r>
      <w:r w:rsidRPr="00840946">
        <w:rPr>
          <w:i/>
        </w:rPr>
        <w:t>Public Health Reports</w:t>
      </w:r>
      <w:r>
        <w:t xml:space="preserve">, 1912, </w:t>
      </w:r>
      <w:r w:rsidRPr="00840946">
        <w:rPr>
          <w:i/>
        </w:rPr>
        <w:t>27</w:t>
      </w:r>
      <w:r>
        <w:t>, 2076-2088.</w:t>
      </w:r>
      <w:r w:rsidR="00536CC5">
        <w:t xml:space="preserve"> (add 4 common diseases excerpt)</w:t>
      </w:r>
      <w:r w:rsidR="004F540E">
        <w:t xml:space="preserve"> (all SK)</w:t>
      </w:r>
    </w:p>
    <w:p w:rsidR="004D3384" w:rsidRDefault="004D3384" w:rsidP="002E59ED">
      <w:pPr>
        <w:ind w:left="1440"/>
      </w:pPr>
    </w:p>
    <w:p w:rsidR="004D3384" w:rsidRDefault="004D3384" w:rsidP="004D3384">
      <w:r>
        <w:t>3/6       Midterm Examination</w:t>
      </w:r>
    </w:p>
    <w:p w:rsidR="004D3384" w:rsidRDefault="004D3384" w:rsidP="004D3384"/>
    <w:p w:rsidR="004D3384" w:rsidRDefault="004D3384" w:rsidP="004D3384">
      <w:r>
        <w:lastRenderedPageBreak/>
        <w:t>Spring Break!  March 11-13</w:t>
      </w:r>
    </w:p>
    <w:p w:rsidR="00536CC5" w:rsidRDefault="00536CC5" w:rsidP="00536CC5"/>
    <w:p w:rsidR="00536CC5" w:rsidRDefault="004D3384" w:rsidP="00536CC5">
      <w:r>
        <w:t>3/18</w:t>
      </w:r>
      <w:r w:rsidR="004F540E">
        <w:tab/>
        <w:t>Plague of Food: Obesity and Diabetes</w:t>
      </w:r>
    </w:p>
    <w:p w:rsidR="004F540E" w:rsidRDefault="004F540E" w:rsidP="00536CC5"/>
    <w:p w:rsidR="004F540E" w:rsidRDefault="004F540E" w:rsidP="001D2EA9">
      <w:pPr>
        <w:ind w:left="1440"/>
      </w:pPr>
      <w:r>
        <w:t xml:space="preserve">Readings: Readings: Peter N. Stearns, </w:t>
      </w:r>
      <w:r w:rsidRPr="00EA18E8">
        <w:rPr>
          <w:i/>
        </w:rPr>
        <w:t>Fat History: Bodies and Beauty in the Modern West</w:t>
      </w:r>
      <w:r>
        <w:t xml:space="preserve"> (New York: New York University Press, 1997), pp. 127-149; Peter Bennett, et al., “Diabetes Mellitus in American (Pima) Indians,” </w:t>
      </w:r>
      <w:r w:rsidRPr="0056698C">
        <w:rPr>
          <w:i/>
        </w:rPr>
        <w:t>Lancet</w:t>
      </w:r>
      <w:r>
        <w:t xml:space="preserve">, 17 July 1971, 125-128; Margaret Humphreys, et al., “Racial Disparities in Diabetes a Century Ago: Evidence from the Pension Files of U.S. Civil War Veterans,” </w:t>
      </w:r>
      <w:r w:rsidRPr="00F96AB4">
        <w:rPr>
          <w:i/>
        </w:rPr>
        <w:t>Social Science and Medicine</w:t>
      </w:r>
      <w:r>
        <w:t xml:space="preserve">, 2007, </w:t>
      </w:r>
      <w:r w:rsidRPr="00F96AB4">
        <w:rPr>
          <w:i/>
        </w:rPr>
        <w:t>64,</w:t>
      </w:r>
      <w:r>
        <w:t xml:space="preserve"> 1766-1775. (all SK)</w:t>
      </w:r>
    </w:p>
    <w:p w:rsidR="00A37F1C" w:rsidRDefault="00A37F1C" w:rsidP="00536CC5"/>
    <w:p w:rsidR="00A37F1C" w:rsidRDefault="00A37F1C" w:rsidP="002E59ED">
      <w:pPr>
        <w:ind w:left="1440"/>
      </w:pPr>
    </w:p>
    <w:p w:rsidR="00A833B4" w:rsidRDefault="004D3384" w:rsidP="00CC1CEF">
      <w:r>
        <w:t>3/20</w:t>
      </w:r>
      <w:r w:rsidR="00AB2415">
        <w:t xml:space="preserve">    </w:t>
      </w:r>
      <w:r w:rsidR="00AB2415">
        <w:tab/>
        <w:t>Food in Modern America—part 1</w:t>
      </w:r>
    </w:p>
    <w:p w:rsidR="00AB2415" w:rsidRDefault="00AB2415" w:rsidP="00CC1CEF"/>
    <w:p w:rsidR="00AB2415" w:rsidRDefault="00AB2415" w:rsidP="00CC1CEF">
      <w:r>
        <w:tab/>
      </w:r>
      <w:r>
        <w:tab/>
        <w:t xml:space="preserve">Reading: Harvey Levenstein, </w:t>
      </w:r>
      <w:r w:rsidRPr="00AB2415">
        <w:rPr>
          <w:i/>
        </w:rPr>
        <w:t>Paradox of Plenty</w:t>
      </w:r>
      <w:r>
        <w:t>, 1-79.</w:t>
      </w:r>
    </w:p>
    <w:p w:rsidR="00A833B4" w:rsidRDefault="00A833B4" w:rsidP="00CC1CEF"/>
    <w:p w:rsidR="00A833B4" w:rsidRDefault="004D3384" w:rsidP="00CC1CEF">
      <w:r>
        <w:t>3/25</w:t>
      </w:r>
      <w:r w:rsidR="00AB2415">
        <w:t xml:space="preserve">      Food in Modern America—part 2</w:t>
      </w:r>
    </w:p>
    <w:p w:rsidR="00AB2415" w:rsidRDefault="00AB2415" w:rsidP="00CC1CEF"/>
    <w:p w:rsidR="00AB2415" w:rsidRDefault="00AB2415" w:rsidP="00CC1CEF">
      <w:r>
        <w:tab/>
      </w:r>
      <w:r>
        <w:tab/>
        <w:t xml:space="preserve">Reading: Levenstein, </w:t>
      </w:r>
      <w:r w:rsidRPr="00AB2415">
        <w:rPr>
          <w:i/>
        </w:rPr>
        <w:t>Paradox of Plenty</w:t>
      </w:r>
      <w:r>
        <w:t>, 80-130.</w:t>
      </w:r>
    </w:p>
    <w:p w:rsidR="00A833B4" w:rsidRDefault="00A833B4" w:rsidP="00CC1CEF"/>
    <w:p w:rsidR="00A833B4" w:rsidRDefault="004D3384" w:rsidP="00CC1CEF">
      <w:r>
        <w:t>3/27</w:t>
      </w:r>
      <w:r w:rsidR="00AB2415">
        <w:tab/>
        <w:t>Food in Modern America—part 3</w:t>
      </w:r>
    </w:p>
    <w:p w:rsidR="00AB2415" w:rsidRDefault="00AB2415" w:rsidP="00CC1CEF"/>
    <w:p w:rsidR="00AB2415" w:rsidRDefault="00AB2415" w:rsidP="00CC1CEF">
      <w:r>
        <w:tab/>
      </w:r>
      <w:r>
        <w:tab/>
        <w:t xml:space="preserve">Reading: Levenstein, </w:t>
      </w:r>
      <w:r w:rsidRPr="00AB2415">
        <w:rPr>
          <w:i/>
        </w:rPr>
        <w:t>Paradox of Plenty</w:t>
      </w:r>
      <w:r>
        <w:t>, 131-194.</w:t>
      </w:r>
    </w:p>
    <w:p w:rsidR="00A833B4" w:rsidRDefault="00A833B4" w:rsidP="00CC1CEF"/>
    <w:p w:rsidR="00A833B4" w:rsidRDefault="004D3384" w:rsidP="00CC1CEF">
      <w:r>
        <w:t>4/1</w:t>
      </w:r>
      <w:r w:rsidR="00AB2415">
        <w:tab/>
        <w:t>Food Politics in the Modern US—part 1</w:t>
      </w:r>
    </w:p>
    <w:p w:rsidR="00AB2415" w:rsidRDefault="00AB2415" w:rsidP="00CC1CEF"/>
    <w:p w:rsidR="00AB2415" w:rsidRDefault="00AB2415" w:rsidP="00CC1CEF">
      <w:r>
        <w:tab/>
      </w:r>
      <w:r>
        <w:tab/>
        <w:t xml:space="preserve">Reading: Marion Nestle, </w:t>
      </w:r>
      <w:r w:rsidRPr="00AB2415">
        <w:rPr>
          <w:i/>
        </w:rPr>
        <w:t>Food Politics</w:t>
      </w:r>
      <w:r>
        <w:t>, 173-218.</w:t>
      </w:r>
    </w:p>
    <w:p w:rsidR="00A833B4" w:rsidRDefault="00A833B4" w:rsidP="00CC1CEF"/>
    <w:p w:rsidR="00A833B4" w:rsidRDefault="004D3384" w:rsidP="00CC1CEF">
      <w:r>
        <w:t>4/3</w:t>
      </w:r>
      <w:r w:rsidR="00AB2415">
        <w:t xml:space="preserve">       Food Politics in the Modern US—part 2</w:t>
      </w:r>
    </w:p>
    <w:p w:rsidR="00AB2415" w:rsidRDefault="00AB2415" w:rsidP="00CC1CEF"/>
    <w:p w:rsidR="00AB2415" w:rsidRDefault="00AB2415" w:rsidP="00CC1CEF">
      <w:r>
        <w:tab/>
      </w:r>
      <w:r>
        <w:tab/>
        <w:t xml:space="preserve">Reading: Marion Nestle, </w:t>
      </w:r>
      <w:r w:rsidRPr="00AB2415">
        <w:rPr>
          <w:i/>
        </w:rPr>
        <w:t>Food Politics</w:t>
      </w:r>
      <w:r>
        <w:t>, 295-337.</w:t>
      </w:r>
    </w:p>
    <w:p w:rsidR="00A833B4" w:rsidRDefault="00A833B4" w:rsidP="00CC1CEF"/>
    <w:p w:rsidR="00A833B4" w:rsidRDefault="004D3384" w:rsidP="00CC1CEF">
      <w:r>
        <w:t>4/8</w:t>
      </w:r>
      <w:r w:rsidR="00AB2415">
        <w:t xml:space="preserve">        Food Politics in Modern US—part 3</w:t>
      </w:r>
    </w:p>
    <w:p w:rsidR="00AB2415" w:rsidRDefault="00AB2415" w:rsidP="00CC1CEF"/>
    <w:p w:rsidR="00AB2415" w:rsidRDefault="00AB2415" w:rsidP="00CC1CEF">
      <w:r>
        <w:tab/>
      </w:r>
      <w:r>
        <w:tab/>
        <w:t xml:space="preserve">Reading: Nestle, </w:t>
      </w:r>
      <w:r w:rsidRPr="00AB2415">
        <w:rPr>
          <w:i/>
        </w:rPr>
        <w:t>Food Politics</w:t>
      </w:r>
      <w:r>
        <w:t>, 338-374.</w:t>
      </w:r>
    </w:p>
    <w:p w:rsidR="00A833B4" w:rsidRDefault="00A833B4" w:rsidP="00CC1CEF"/>
    <w:p w:rsidR="00A833B4" w:rsidRDefault="004D3384" w:rsidP="00CC1CEF">
      <w:r>
        <w:t>4/10</w:t>
      </w:r>
      <w:r w:rsidR="00281B06">
        <w:t xml:space="preserve">       </w:t>
      </w:r>
      <w:r w:rsidR="00AB2415">
        <w:t>Food Politics in Modern US—part 4</w:t>
      </w:r>
    </w:p>
    <w:p w:rsidR="00AB2415" w:rsidRDefault="00AB2415" w:rsidP="00CC1CEF"/>
    <w:p w:rsidR="00AB2415" w:rsidRDefault="00AB2415" w:rsidP="00CC1CEF">
      <w:r>
        <w:tab/>
      </w:r>
      <w:r>
        <w:tab/>
        <w:t xml:space="preserve">Reading: Nestle, </w:t>
      </w:r>
      <w:r w:rsidRPr="003510B8">
        <w:rPr>
          <w:i/>
        </w:rPr>
        <w:t>Food Politics</w:t>
      </w:r>
      <w:r>
        <w:t>, 375-412.</w:t>
      </w:r>
    </w:p>
    <w:p w:rsidR="00B92F2E" w:rsidRDefault="00B92F2E" w:rsidP="00CC1CEF"/>
    <w:p w:rsidR="00B92F2E" w:rsidRDefault="008479DF" w:rsidP="003510B8">
      <w:r>
        <w:t>4/15</w:t>
      </w:r>
      <w:r w:rsidR="00281B06">
        <w:t xml:space="preserve">       </w:t>
      </w:r>
      <w:r w:rsidR="00B92F2E">
        <w:t>What does it all mean?</w:t>
      </w:r>
    </w:p>
    <w:p w:rsidR="00B92F2E" w:rsidRDefault="00B92F2E" w:rsidP="00B92F2E">
      <w:pPr>
        <w:ind w:left="720"/>
      </w:pPr>
    </w:p>
    <w:p w:rsidR="00B92F2E" w:rsidRDefault="00B92F2E" w:rsidP="00B92F2E">
      <w:pPr>
        <w:ind w:left="1440"/>
      </w:pPr>
      <w:smartTag w:uri="urn:schemas-microsoft-com:office:smarttags" w:element="City">
        <w:r>
          <w:t>Reading</w:t>
        </w:r>
      </w:smartTag>
      <w:r>
        <w:t xml:space="preserve">: Robert Fogel, </w:t>
      </w:r>
      <w:r w:rsidRPr="005B5455">
        <w:rPr>
          <w:i/>
        </w:rPr>
        <w:t>The Escape from Hunger and Premature Death, 1700-2100</w:t>
      </w:r>
      <w:r>
        <w:t xml:space="preserve"> (</w:t>
      </w:r>
      <w:smartTag w:uri="urn:schemas-microsoft-com:office:smarttags" w:element="place">
        <w:smartTag w:uri="urn:schemas-microsoft-com:office:smarttags" w:element="City">
          <w:r>
            <w:t>Cambridge</w:t>
          </w:r>
        </w:smartTag>
      </w:smartTag>
      <w:r>
        <w:t xml:space="preserve">: </w:t>
      </w:r>
      <w:smartTag w:uri="urn:schemas-microsoft-com:office:smarttags" w:element="PlaceName">
        <w:r>
          <w:t>Cambridge</w:t>
        </w:r>
      </w:smartTag>
      <w:r>
        <w:t xml:space="preserve"> </w:t>
      </w:r>
      <w:smartTag w:uri="urn:schemas-microsoft-com:office:smarttags" w:element="PlaceType">
        <w:r>
          <w:t>University</w:t>
        </w:r>
      </w:smartTag>
      <w:r>
        <w:t xml:space="preserve"> Press, 2004), pp. xv-xvii, 1-42. </w:t>
      </w:r>
    </w:p>
    <w:p w:rsidR="00B92F2E" w:rsidRDefault="00B92F2E" w:rsidP="00B92F2E">
      <w:pPr>
        <w:ind w:left="720"/>
      </w:pPr>
    </w:p>
    <w:p w:rsidR="003510B8" w:rsidRDefault="008479DF" w:rsidP="003510B8">
      <w:r>
        <w:t>4/17</w:t>
      </w:r>
      <w:r w:rsidR="003510B8">
        <w:t xml:space="preserve">        Fogel’s conclusions</w:t>
      </w:r>
      <w:r>
        <w:t xml:space="preserve"> </w:t>
      </w:r>
      <w:r w:rsidR="001D2EA9">
        <w:t>(</w:t>
      </w:r>
      <w:r w:rsidR="00FC4B30">
        <w:t>and another a</w:t>
      </w:r>
      <w:r>
        <w:t>nswer</w:t>
      </w:r>
      <w:r w:rsidR="001D2EA9">
        <w:t>)</w:t>
      </w:r>
    </w:p>
    <w:p w:rsidR="003510B8" w:rsidRDefault="003510B8" w:rsidP="003510B8">
      <w:pPr>
        <w:ind w:left="720"/>
      </w:pPr>
    </w:p>
    <w:p w:rsidR="003510B8" w:rsidRDefault="003510B8" w:rsidP="003510B8">
      <w:pPr>
        <w:ind w:left="720"/>
      </w:pPr>
      <w:r>
        <w:tab/>
      </w:r>
      <w:smartTag w:uri="urn:schemas-microsoft-com:office:smarttags" w:element="place">
        <w:smartTag w:uri="urn:schemas-microsoft-com:office:smarttags" w:element="City">
          <w:r>
            <w:t>Reading</w:t>
          </w:r>
        </w:smartTag>
      </w:smartTag>
      <w:r w:rsidR="008479DF">
        <w:t xml:space="preserve">: Fogel, pp. 43-65; Richard Francis, </w:t>
      </w:r>
      <w:r w:rsidR="008479DF" w:rsidRPr="008479DF">
        <w:rPr>
          <w:i/>
        </w:rPr>
        <w:t>Epigenetics</w:t>
      </w:r>
      <w:r w:rsidR="008479DF">
        <w:t>, 1-8, 49-76.</w:t>
      </w:r>
    </w:p>
    <w:p w:rsidR="003510B8" w:rsidRDefault="003510B8" w:rsidP="003510B8"/>
    <w:p w:rsidR="00A833B4" w:rsidRDefault="00B92F2E" w:rsidP="00CC1CEF">
      <w:r>
        <w:t>4/22</w:t>
      </w:r>
      <w:r w:rsidR="003510B8" w:rsidRPr="003510B8">
        <w:t xml:space="preserve"> </w:t>
      </w:r>
      <w:r w:rsidR="003510B8">
        <w:t xml:space="preserve">     </w:t>
      </w:r>
      <w:r w:rsidR="00281B06">
        <w:t>Conclusion</w:t>
      </w:r>
    </w:p>
    <w:p w:rsidR="00A833B4" w:rsidRDefault="00A833B4" w:rsidP="00CC1CEF"/>
    <w:p w:rsidR="00F90890" w:rsidRDefault="00F90890" w:rsidP="002E59ED">
      <w:pPr>
        <w:ind w:left="1440"/>
      </w:pPr>
    </w:p>
    <w:sectPr w:rsidR="00F908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A1187"/>
    <w:multiLevelType w:val="singleLevel"/>
    <w:tmpl w:val="47480934"/>
    <w:lvl w:ilvl="0">
      <w:start w:val="1"/>
      <w:numFmt w:val="decimal"/>
      <w:lvlText w:val="%1."/>
      <w:lvlJc w:val="left"/>
      <w:pPr>
        <w:tabs>
          <w:tab w:val="num" w:pos="1170"/>
        </w:tabs>
        <w:ind w:left="1170" w:hanging="360"/>
      </w:pPr>
      <w:rPr>
        <w:rFonts w:hint="default"/>
      </w:rPr>
    </w:lvl>
  </w:abstractNum>
  <w:abstractNum w:abstractNumId="1">
    <w:nsid w:val="6D261EA6"/>
    <w:multiLevelType w:val="hybridMultilevel"/>
    <w:tmpl w:val="43966014"/>
    <w:lvl w:ilvl="0" w:tplc="76260CA4">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972"/>
    <w:rsid w:val="00013929"/>
    <w:rsid w:val="00033516"/>
    <w:rsid w:val="00036786"/>
    <w:rsid w:val="00046E1B"/>
    <w:rsid w:val="00057994"/>
    <w:rsid w:val="0006280E"/>
    <w:rsid w:val="00063DF7"/>
    <w:rsid w:val="000F7F03"/>
    <w:rsid w:val="0015521A"/>
    <w:rsid w:val="00157CF2"/>
    <w:rsid w:val="00161BA6"/>
    <w:rsid w:val="001849CC"/>
    <w:rsid w:val="001D2EA9"/>
    <w:rsid w:val="00200135"/>
    <w:rsid w:val="00217A80"/>
    <w:rsid w:val="00281B06"/>
    <w:rsid w:val="002853FF"/>
    <w:rsid w:val="002A2940"/>
    <w:rsid w:val="002B4F2B"/>
    <w:rsid w:val="002E5532"/>
    <w:rsid w:val="002E59ED"/>
    <w:rsid w:val="0032470B"/>
    <w:rsid w:val="003325F7"/>
    <w:rsid w:val="003510B8"/>
    <w:rsid w:val="003652F2"/>
    <w:rsid w:val="00370EE1"/>
    <w:rsid w:val="00381E4E"/>
    <w:rsid w:val="003E36CC"/>
    <w:rsid w:val="004053A6"/>
    <w:rsid w:val="00444214"/>
    <w:rsid w:val="004C02EC"/>
    <w:rsid w:val="004D3384"/>
    <w:rsid w:val="004E5168"/>
    <w:rsid w:val="004E77A6"/>
    <w:rsid w:val="004F540E"/>
    <w:rsid w:val="00505427"/>
    <w:rsid w:val="00523410"/>
    <w:rsid w:val="00536CC5"/>
    <w:rsid w:val="005503C5"/>
    <w:rsid w:val="0056698C"/>
    <w:rsid w:val="00573E3A"/>
    <w:rsid w:val="00576935"/>
    <w:rsid w:val="00583A14"/>
    <w:rsid w:val="00585348"/>
    <w:rsid w:val="0059179E"/>
    <w:rsid w:val="005A2D9B"/>
    <w:rsid w:val="005A37B0"/>
    <w:rsid w:val="005B5455"/>
    <w:rsid w:val="005F4713"/>
    <w:rsid w:val="005F7B77"/>
    <w:rsid w:val="0062144D"/>
    <w:rsid w:val="006574F4"/>
    <w:rsid w:val="006874E2"/>
    <w:rsid w:val="006D376A"/>
    <w:rsid w:val="006F01CF"/>
    <w:rsid w:val="00714DF3"/>
    <w:rsid w:val="007528E7"/>
    <w:rsid w:val="00762993"/>
    <w:rsid w:val="00765D94"/>
    <w:rsid w:val="00784367"/>
    <w:rsid w:val="007A3149"/>
    <w:rsid w:val="007A7066"/>
    <w:rsid w:val="00811050"/>
    <w:rsid w:val="008163EC"/>
    <w:rsid w:val="00821DE0"/>
    <w:rsid w:val="00830D24"/>
    <w:rsid w:val="00834267"/>
    <w:rsid w:val="00840946"/>
    <w:rsid w:val="008479DF"/>
    <w:rsid w:val="00860AC3"/>
    <w:rsid w:val="0086386A"/>
    <w:rsid w:val="00887D4F"/>
    <w:rsid w:val="008A1027"/>
    <w:rsid w:val="008A1446"/>
    <w:rsid w:val="008A452D"/>
    <w:rsid w:val="008E3285"/>
    <w:rsid w:val="008F66D1"/>
    <w:rsid w:val="00923B0D"/>
    <w:rsid w:val="00980461"/>
    <w:rsid w:val="00984966"/>
    <w:rsid w:val="009A0638"/>
    <w:rsid w:val="009A4E3C"/>
    <w:rsid w:val="009F1D62"/>
    <w:rsid w:val="00A37F1C"/>
    <w:rsid w:val="00A833B4"/>
    <w:rsid w:val="00AB2415"/>
    <w:rsid w:val="00B05BC6"/>
    <w:rsid w:val="00B61450"/>
    <w:rsid w:val="00B66213"/>
    <w:rsid w:val="00B92F2E"/>
    <w:rsid w:val="00BC62B2"/>
    <w:rsid w:val="00BD3BB3"/>
    <w:rsid w:val="00BE7193"/>
    <w:rsid w:val="00C503F6"/>
    <w:rsid w:val="00C975F8"/>
    <w:rsid w:val="00CB1047"/>
    <w:rsid w:val="00CC1CEF"/>
    <w:rsid w:val="00CC68DD"/>
    <w:rsid w:val="00CD6972"/>
    <w:rsid w:val="00CE4F94"/>
    <w:rsid w:val="00CE7E4E"/>
    <w:rsid w:val="00D2291B"/>
    <w:rsid w:val="00D353F5"/>
    <w:rsid w:val="00DA3BC9"/>
    <w:rsid w:val="00DC67B3"/>
    <w:rsid w:val="00DF6B6E"/>
    <w:rsid w:val="00E11067"/>
    <w:rsid w:val="00E160A0"/>
    <w:rsid w:val="00E63269"/>
    <w:rsid w:val="00E72563"/>
    <w:rsid w:val="00E903B6"/>
    <w:rsid w:val="00EA18E8"/>
    <w:rsid w:val="00EE0D9C"/>
    <w:rsid w:val="00F571B9"/>
    <w:rsid w:val="00F76E33"/>
    <w:rsid w:val="00F90890"/>
    <w:rsid w:val="00F90900"/>
    <w:rsid w:val="00FC4B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41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D6972"/>
    <w:rPr>
      <w:color w:val="0000FF"/>
      <w:u w:val="single"/>
    </w:rPr>
  </w:style>
  <w:style w:type="character" w:customStyle="1" w:styleId="ti2">
    <w:name w:val="ti2"/>
    <w:rsid w:val="00C975F8"/>
    <w:rPr>
      <w:sz w:val="22"/>
      <w:szCs w:val="22"/>
    </w:rPr>
  </w:style>
  <w:style w:type="paragraph" w:styleId="BalloonText">
    <w:name w:val="Balloon Text"/>
    <w:basedOn w:val="Normal"/>
    <w:link w:val="BalloonTextChar"/>
    <w:rsid w:val="00830D24"/>
    <w:rPr>
      <w:rFonts w:ascii="Tahoma" w:hAnsi="Tahoma"/>
      <w:sz w:val="16"/>
      <w:szCs w:val="16"/>
      <w:lang/>
    </w:rPr>
  </w:style>
  <w:style w:type="character" w:customStyle="1" w:styleId="BalloonTextChar">
    <w:name w:val="Balloon Text Char"/>
    <w:link w:val="BalloonText"/>
    <w:rsid w:val="00830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h@du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Global Health History</vt:lpstr>
    </vt:vector>
  </TitlesOfParts>
  <Company>Duke University</Company>
  <LinksUpToDate>false</LinksUpToDate>
  <CharactersWithSpaces>7508</CharactersWithSpaces>
  <SharedDoc>false</SharedDoc>
  <HLinks>
    <vt:vector size="6" baseType="variant">
      <vt:variant>
        <vt:i4>2228250</vt:i4>
      </vt:variant>
      <vt:variant>
        <vt:i4>0</vt:i4>
      </vt:variant>
      <vt:variant>
        <vt:i4>0</vt:i4>
      </vt:variant>
      <vt:variant>
        <vt:i4>5</vt:i4>
      </vt:variant>
      <vt:variant>
        <vt:lpwstr>mailto:meh@duke.edu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History</dc:title>
  <dc:creator>Arts and Sciences</dc:creator>
  <cp:lastModifiedBy>Ted Kerin</cp:lastModifiedBy>
  <cp:revision>2</cp:revision>
  <cp:lastPrinted>2013-05-02T16:22:00Z</cp:lastPrinted>
  <dcterms:created xsi:type="dcterms:W3CDTF">2015-08-12T00:05:00Z</dcterms:created>
  <dcterms:modified xsi:type="dcterms:W3CDTF">2015-08-12T00:05:00Z</dcterms:modified>
</cp:coreProperties>
</file>